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6884" w14:textId="12E7858C" w:rsidR="0568FEDD" w:rsidRPr="00FC3274" w:rsidRDefault="0568FEDD" w:rsidP="00946370">
      <w:pPr>
        <w:spacing w:line="240" w:lineRule="auto"/>
        <w:rPr>
          <w:rFonts w:ascii="Aptos" w:hAnsi="Aptos" w:cstheme="minorHAnsi"/>
          <w:b/>
          <w:bCs/>
          <w:sz w:val="17"/>
          <w:szCs w:val="17"/>
        </w:rPr>
      </w:pPr>
      <w:r w:rsidRPr="00FC3274">
        <w:rPr>
          <w:rFonts w:ascii="Aptos" w:hAnsi="Aptos" w:cstheme="minorHAnsi"/>
          <w:b/>
          <w:bCs/>
          <w:sz w:val="17"/>
          <w:szCs w:val="17"/>
        </w:rPr>
        <w:t xml:space="preserve">JoAnn Falgout, </w:t>
      </w:r>
      <w:r w:rsidR="00A86651" w:rsidRPr="00FC3274">
        <w:rPr>
          <w:rFonts w:ascii="Aptos" w:hAnsi="Aptos" w:cstheme="minorHAnsi"/>
          <w:b/>
          <w:bCs/>
          <w:sz w:val="17"/>
          <w:szCs w:val="17"/>
        </w:rPr>
        <w:t>Esq.</w:t>
      </w:r>
    </w:p>
    <w:p w14:paraId="7F5EC95C" w14:textId="50F65939" w:rsidR="0568FEDD" w:rsidRPr="00FC3274" w:rsidRDefault="00733FB3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hyperlink r:id="rId10" w:history="1">
        <w:r w:rsidRPr="00FC3274">
          <w:rPr>
            <w:rStyle w:val="Hyperlink"/>
            <w:rFonts w:ascii="Aptos" w:hAnsi="Aptos" w:cstheme="minorHAnsi"/>
            <w:sz w:val="17"/>
            <w:szCs w:val="17"/>
          </w:rPr>
          <w:t>joann.falgout@guidant.law</w:t>
        </w:r>
        <w:r w:rsidRPr="00FC3274">
          <w:rPr>
            <w:rStyle w:val="Hyperlink"/>
            <w:rFonts w:ascii="Aptos" w:hAnsi="Aptos" w:cstheme="minorHAnsi"/>
            <w:sz w:val="17"/>
            <w:szCs w:val="17"/>
          </w:rPr>
          <w:br/>
        </w:r>
      </w:hyperlink>
      <w:r w:rsidR="0568FEDD" w:rsidRPr="00FC3274">
        <w:rPr>
          <w:rFonts w:ascii="Aptos" w:hAnsi="Aptos" w:cstheme="minorHAnsi"/>
          <w:sz w:val="17"/>
          <w:szCs w:val="17"/>
        </w:rPr>
        <w:t xml:space="preserve">(602) </w:t>
      </w:r>
      <w:r w:rsidRPr="00FC3274">
        <w:rPr>
          <w:rFonts w:ascii="Aptos" w:hAnsi="Aptos" w:cstheme="minorHAnsi"/>
          <w:sz w:val="17"/>
          <w:szCs w:val="17"/>
        </w:rPr>
        <w:t>889</w:t>
      </w:r>
      <w:r w:rsidR="0568FEDD" w:rsidRPr="00FC3274">
        <w:rPr>
          <w:rFonts w:ascii="Aptos" w:hAnsi="Aptos" w:cstheme="minorHAnsi"/>
          <w:sz w:val="17"/>
          <w:szCs w:val="17"/>
        </w:rPr>
        <w:t>-</w:t>
      </w:r>
      <w:r w:rsidRPr="00FC3274">
        <w:rPr>
          <w:rFonts w:ascii="Aptos" w:hAnsi="Aptos" w:cstheme="minorHAnsi"/>
          <w:sz w:val="17"/>
          <w:szCs w:val="17"/>
        </w:rPr>
        <w:t>9229</w:t>
      </w:r>
    </w:p>
    <w:p w14:paraId="2C7CE460" w14:textId="1ABA39D8" w:rsidR="00457826" w:rsidRPr="00FC3274" w:rsidRDefault="0568FEDD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With </w:t>
      </w:r>
      <w:r w:rsidR="00C36621" w:rsidRPr="00FC3274">
        <w:rPr>
          <w:rFonts w:ascii="Aptos" w:hAnsi="Aptos" w:cstheme="minorHAnsi"/>
          <w:sz w:val="17"/>
          <w:szCs w:val="17"/>
        </w:rPr>
        <w:t>extensive experience negotiating, mediating</w:t>
      </w:r>
      <w:r w:rsidR="00D11537" w:rsidRPr="00FC3274">
        <w:rPr>
          <w:rFonts w:ascii="Aptos" w:hAnsi="Aptos" w:cstheme="minorHAnsi"/>
          <w:sz w:val="17"/>
          <w:szCs w:val="17"/>
        </w:rPr>
        <w:t>,</w:t>
      </w:r>
      <w:r w:rsidR="00C36621" w:rsidRPr="00FC3274">
        <w:rPr>
          <w:rFonts w:ascii="Aptos" w:hAnsi="Aptos" w:cstheme="minorHAnsi"/>
          <w:sz w:val="17"/>
          <w:szCs w:val="17"/>
        </w:rPr>
        <w:t xml:space="preserve"> and litigating cases, JoAnn Falgout </w:t>
      </w:r>
      <w:r w:rsidR="007E690B" w:rsidRPr="00FC3274">
        <w:rPr>
          <w:rFonts w:ascii="Aptos" w:hAnsi="Aptos" w:cstheme="minorHAnsi"/>
          <w:sz w:val="17"/>
          <w:szCs w:val="17"/>
        </w:rPr>
        <w:t xml:space="preserve">helps Guidant clients resolve a wide variety of </w:t>
      </w:r>
      <w:r w:rsidR="00895F21" w:rsidRPr="00FC3274">
        <w:rPr>
          <w:rFonts w:ascii="Aptos" w:hAnsi="Aptos" w:cstheme="minorHAnsi"/>
          <w:sz w:val="17"/>
          <w:szCs w:val="17"/>
        </w:rPr>
        <w:t xml:space="preserve">complex </w:t>
      </w:r>
      <w:r w:rsidRPr="00FC3274">
        <w:rPr>
          <w:rFonts w:ascii="Aptos" w:hAnsi="Aptos" w:cstheme="minorHAnsi"/>
          <w:sz w:val="17"/>
          <w:szCs w:val="17"/>
        </w:rPr>
        <w:t>legal issues</w:t>
      </w:r>
      <w:r w:rsidR="00895F21" w:rsidRPr="00FC3274">
        <w:rPr>
          <w:rFonts w:ascii="Aptos" w:hAnsi="Aptos" w:cstheme="minorHAnsi"/>
          <w:sz w:val="17"/>
          <w:szCs w:val="17"/>
        </w:rPr>
        <w:t>.</w:t>
      </w:r>
      <w:r w:rsidRPr="00FC3274">
        <w:rPr>
          <w:rFonts w:ascii="Aptos" w:hAnsi="Aptos" w:cstheme="minorHAnsi"/>
          <w:sz w:val="17"/>
          <w:szCs w:val="17"/>
        </w:rPr>
        <w:t xml:space="preserve"> </w:t>
      </w:r>
      <w:r w:rsidR="003D0977" w:rsidRPr="00FC3274">
        <w:rPr>
          <w:rFonts w:ascii="Aptos" w:hAnsi="Aptos" w:cstheme="minorHAnsi"/>
          <w:sz w:val="17"/>
          <w:szCs w:val="17"/>
        </w:rPr>
        <w:t xml:space="preserve">Focused on </w:t>
      </w:r>
      <w:r w:rsidRPr="00FC3274">
        <w:rPr>
          <w:rFonts w:ascii="Aptos" w:hAnsi="Aptos" w:cstheme="minorHAnsi"/>
          <w:sz w:val="17"/>
          <w:szCs w:val="17"/>
        </w:rPr>
        <w:t>bankruptcy, commercial</w:t>
      </w:r>
      <w:r w:rsidR="00D11537" w:rsidRPr="00FC3274">
        <w:rPr>
          <w:rFonts w:ascii="Aptos" w:hAnsi="Aptos" w:cstheme="minorHAnsi"/>
          <w:sz w:val="17"/>
          <w:szCs w:val="17"/>
        </w:rPr>
        <w:t>,</w:t>
      </w:r>
      <w:r w:rsidRPr="00FC3274">
        <w:rPr>
          <w:rFonts w:ascii="Aptos" w:hAnsi="Aptos" w:cstheme="minorHAnsi"/>
          <w:sz w:val="17"/>
          <w:szCs w:val="17"/>
        </w:rPr>
        <w:t xml:space="preserve"> and appellate law</w:t>
      </w:r>
      <w:r w:rsidR="002A0FC9" w:rsidRPr="00FC3274">
        <w:rPr>
          <w:rFonts w:ascii="Aptos" w:hAnsi="Aptos" w:cstheme="minorHAnsi"/>
          <w:sz w:val="17"/>
          <w:szCs w:val="17"/>
        </w:rPr>
        <w:t xml:space="preserve">, </w:t>
      </w:r>
      <w:r w:rsidR="003D0977" w:rsidRPr="00FC3274">
        <w:rPr>
          <w:rFonts w:ascii="Aptos" w:hAnsi="Aptos" w:cstheme="minorHAnsi"/>
          <w:sz w:val="17"/>
          <w:szCs w:val="17"/>
        </w:rPr>
        <w:t>she</w:t>
      </w:r>
      <w:r w:rsidRPr="00FC3274">
        <w:rPr>
          <w:rFonts w:ascii="Aptos" w:hAnsi="Aptos" w:cstheme="minorHAnsi"/>
          <w:sz w:val="17"/>
          <w:szCs w:val="17"/>
        </w:rPr>
        <w:t xml:space="preserve"> </w:t>
      </w:r>
      <w:r w:rsidR="00457826" w:rsidRPr="00FC3274">
        <w:rPr>
          <w:rFonts w:ascii="Aptos" w:hAnsi="Aptos" w:cstheme="minorHAnsi"/>
          <w:sz w:val="17"/>
          <w:szCs w:val="17"/>
        </w:rPr>
        <w:t xml:space="preserve">applies a “client first” approach that </w:t>
      </w:r>
      <w:r w:rsidRPr="00FC3274">
        <w:rPr>
          <w:rFonts w:ascii="Aptos" w:hAnsi="Aptos" w:cstheme="minorHAnsi"/>
          <w:sz w:val="17"/>
          <w:szCs w:val="17"/>
        </w:rPr>
        <w:t>deliver</w:t>
      </w:r>
      <w:r w:rsidR="003D0977" w:rsidRPr="00FC3274">
        <w:rPr>
          <w:rFonts w:ascii="Aptos" w:hAnsi="Aptos" w:cstheme="minorHAnsi"/>
          <w:sz w:val="17"/>
          <w:szCs w:val="17"/>
        </w:rPr>
        <w:t>s</w:t>
      </w:r>
      <w:r w:rsidRPr="00FC3274">
        <w:rPr>
          <w:rFonts w:ascii="Aptos" w:hAnsi="Aptos" w:cstheme="minorHAnsi"/>
          <w:sz w:val="17"/>
          <w:szCs w:val="17"/>
        </w:rPr>
        <w:t xml:space="preserve"> outstanding results for individuals and businesses.</w:t>
      </w:r>
      <w:r w:rsidR="00282144" w:rsidRPr="00FC3274">
        <w:rPr>
          <w:rFonts w:ascii="Aptos" w:hAnsi="Aptos" w:cstheme="minorHAnsi"/>
          <w:sz w:val="17"/>
          <w:szCs w:val="17"/>
        </w:rPr>
        <w:t xml:space="preserve"> </w:t>
      </w:r>
    </w:p>
    <w:p w14:paraId="54FD5529" w14:textId="0F14C21A" w:rsidR="0568FEDD" w:rsidRPr="00FC3274" w:rsidRDefault="00282144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In her bankruptcy practice, </w:t>
      </w:r>
      <w:r w:rsidR="00457826" w:rsidRPr="00FC3274">
        <w:rPr>
          <w:rFonts w:ascii="Aptos" w:hAnsi="Aptos" w:cstheme="minorHAnsi"/>
          <w:sz w:val="17"/>
          <w:szCs w:val="17"/>
        </w:rPr>
        <w:t xml:space="preserve">JoAnn </w:t>
      </w:r>
      <w:r w:rsidRPr="00FC3274">
        <w:rPr>
          <w:rFonts w:ascii="Aptos" w:hAnsi="Aptos" w:cstheme="minorHAnsi"/>
          <w:sz w:val="17"/>
          <w:szCs w:val="17"/>
        </w:rPr>
        <w:t xml:space="preserve">represents both commercial and consumer clients </w:t>
      </w:r>
      <w:r w:rsidR="00660FB1" w:rsidRPr="00FC3274">
        <w:rPr>
          <w:rFonts w:ascii="Aptos" w:hAnsi="Aptos" w:cstheme="minorHAnsi"/>
          <w:sz w:val="17"/>
          <w:szCs w:val="17"/>
        </w:rPr>
        <w:t>in connection with Chapter 7, 11 (including Subchapter V), and 13 bankruptcy cases and appeals.</w:t>
      </w:r>
      <w:r w:rsidRPr="00FC3274">
        <w:rPr>
          <w:rFonts w:ascii="Aptos" w:hAnsi="Aptos" w:cstheme="minorHAnsi"/>
          <w:sz w:val="17"/>
          <w:szCs w:val="17"/>
        </w:rPr>
        <w:t xml:space="preserve"> </w:t>
      </w:r>
      <w:r w:rsidR="00660FB1" w:rsidRPr="00FC3274">
        <w:rPr>
          <w:rFonts w:ascii="Aptos" w:hAnsi="Aptos" w:cstheme="minorHAnsi"/>
          <w:sz w:val="17"/>
          <w:szCs w:val="17"/>
        </w:rPr>
        <w:t>She also advises and represents individual and business clients in commercial and construction disputes, including litigation and appeals.</w:t>
      </w:r>
    </w:p>
    <w:p w14:paraId="519F672E" w14:textId="32A1ECFD" w:rsidR="00CA7B1A" w:rsidRPr="00FC3274" w:rsidRDefault="009A3068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JoAnn honed her appellate </w:t>
      </w:r>
      <w:r w:rsidR="00161349" w:rsidRPr="00FC3274">
        <w:rPr>
          <w:rFonts w:ascii="Aptos" w:hAnsi="Aptos" w:cstheme="minorHAnsi"/>
          <w:sz w:val="17"/>
          <w:szCs w:val="17"/>
        </w:rPr>
        <w:t xml:space="preserve">prowess </w:t>
      </w:r>
      <w:r w:rsidR="00B011BC" w:rsidRPr="00FC3274">
        <w:rPr>
          <w:rFonts w:ascii="Aptos" w:hAnsi="Aptos" w:cstheme="minorHAnsi"/>
          <w:sz w:val="17"/>
          <w:szCs w:val="17"/>
        </w:rPr>
        <w:t xml:space="preserve">as an Assistant Attorney General, advising </w:t>
      </w:r>
      <w:r w:rsidR="005D472A" w:rsidRPr="00FC3274">
        <w:rPr>
          <w:rFonts w:ascii="Aptos" w:hAnsi="Aptos" w:cstheme="minorHAnsi"/>
          <w:sz w:val="17"/>
          <w:szCs w:val="17"/>
        </w:rPr>
        <w:t xml:space="preserve">and representing the Department of Child Safety and the Arizona Department of Economic Security in </w:t>
      </w:r>
      <w:r w:rsidR="006B25CA" w:rsidRPr="00FC3274">
        <w:rPr>
          <w:rFonts w:ascii="Aptos" w:hAnsi="Aptos" w:cstheme="minorHAnsi"/>
          <w:sz w:val="17"/>
          <w:szCs w:val="17"/>
        </w:rPr>
        <w:t xml:space="preserve">appeals from administrative and trial court </w:t>
      </w:r>
      <w:r w:rsidR="00D11537" w:rsidRPr="00FC3274">
        <w:rPr>
          <w:rFonts w:ascii="Aptos" w:hAnsi="Aptos" w:cstheme="minorHAnsi"/>
          <w:sz w:val="17"/>
          <w:szCs w:val="17"/>
        </w:rPr>
        <w:t>proceeding</w:t>
      </w:r>
      <w:r w:rsidR="006B25CA" w:rsidRPr="00FC3274">
        <w:rPr>
          <w:rFonts w:ascii="Aptos" w:hAnsi="Aptos" w:cstheme="minorHAnsi"/>
          <w:sz w:val="17"/>
          <w:szCs w:val="17"/>
        </w:rPr>
        <w:t>s</w:t>
      </w:r>
      <w:r w:rsidR="003B3A3F" w:rsidRPr="00FC3274">
        <w:rPr>
          <w:rFonts w:ascii="Aptos" w:hAnsi="Aptos" w:cstheme="minorHAnsi"/>
          <w:sz w:val="17"/>
          <w:szCs w:val="17"/>
        </w:rPr>
        <w:t xml:space="preserve"> in the Arizona Superior Court, Arizona Court of Appeals, Arizona Supreme Court</w:t>
      </w:r>
      <w:r w:rsidR="00155ED5" w:rsidRPr="00FC3274">
        <w:rPr>
          <w:rFonts w:ascii="Aptos" w:hAnsi="Aptos" w:cstheme="minorHAnsi"/>
          <w:sz w:val="17"/>
          <w:szCs w:val="17"/>
        </w:rPr>
        <w:t>,</w:t>
      </w:r>
      <w:r w:rsidR="003B3A3F" w:rsidRPr="00FC3274">
        <w:rPr>
          <w:rFonts w:ascii="Aptos" w:hAnsi="Aptos" w:cstheme="minorHAnsi"/>
          <w:sz w:val="17"/>
          <w:szCs w:val="17"/>
        </w:rPr>
        <w:t xml:space="preserve"> and the U.S. Supreme Court</w:t>
      </w:r>
      <w:r w:rsidR="003E6189" w:rsidRPr="00FC3274">
        <w:rPr>
          <w:rFonts w:ascii="Aptos" w:hAnsi="Aptos" w:cstheme="minorHAnsi"/>
          <w:sz w:val="17"/>
          <w:szCs w:val="17"/>
        </w:rPr>
        <w:t>, winning several awards for her excellent appellate advocacy</w:t>
      </w:r>
      <w:r w:rsidR="00A11DE8" w:rsidRPr="00FC3274">
        <w:rPr>
          <w:rFonts w:ascii="Aptos" w:hAnsi="Aptos" w:cstheme="minorHAnsi"/>
          <w:sz w:val="17"/>
          <w:szCs w:val="17"/>
        </w:rPr>
        <w:t xml:space="preserve">. </w:t>
      </w:r>
      <w:r w:rsidR="009D279C" w:rsidRPr="00FC3274">
        <w:rPr>
          <w:rFonts w:ascii="Aptos" w:hAnsi="Aptos" w:cstheme="minorHAnsi"/>
          <w:sz w:val="17"/>
          <w:szCs w:val="17"/>
        </w:rPr>
        <w:t xml:space="preserve">Moreover, </w:t>
      </w:r>
      <w:r w:rsidR="00C54055" w:rsidRPr="00FC3274">
        <w:rPr>
          <w:rFonts w:ascii="Aptos" w:hAnsi="Aptos" w:cstheme="minorHAnsi"/>
          <w:sz w:val="17"/>
          <w:szCs w:val="17"/>
        </w:rPr>
        <w:t xml:space="preserve">in </w:t>
      </w:r>
      <w:r w:rsidR="00DF243A" w:rsidRPr="00FC3274">
        <w:rPr>
          <w:rFonts w:ascii="Aptos" w:hAnsi="Aptos" w:cstheme="minorHAnsi"/>
          <w:sz w:val="17"/>
          <w:szCs w:val="17"/>
        </w:rPr>
        <w:t>nearly 10 years as a Staff Attorney with the Arizona Court of Appeals,</w:t>
      </w:r>
      <w:r w:rsidR="00C54055" w:rsidRPr="00FC3274">
        <w:rPr>
          <w:rFonts w:ascii="Aptos" w:hAnsi="Aptos" w:cstheme="minorHAnsi"/>
          <w:sz w:val="17"/>
          <w:szCs w:val="17"/>
        </w:rPr>
        <w:t xml:space="preserve"> she drafted proposed </w:t>
      </w:r>
      <w:r w:rsidR="00B7324B" w:rsidRPr="00FC3274">
        <w:rPr>
          <w:rFonts w:ascii="Aptos" w:hAnsi="Aptos" w:cstheme="minorHAnsi"/>
          <w:sz w:val="17"/>
          <w:szCs w:val="17"/>
        </w:rPr>
        <w:t xml:space="preserve">opinions and memorandum </w:t>
      </w:r>
      <w:r w:rsidR="00C54055" w:rsidRPr="00FC3274">
        <w:rPr>
          <w:rFonts w:ascii="Aptos" w:hAnsi="Aptos" w:cstheme="minorHAnsi"/>
          <w:sz w:val="17"/>
          <w:szCs w:val="17"/>
        </w:rPr>
        <w:t xml:space="preserve">decisions </w:t>
      </w:r>
      <w:r w:rsidR="00DD24E1" w:rsidRPr="00FC3274">
        <w:rPr>
          <w:rFonts w:ascii="Aptos" w:hAnsi="Aptos" w:cstheme="minorHAnsi"/>
          <w:sz w:val="17"/>
          <w:szCs w:val="17"/>
        </w:rPr>
        <w:t>to resolve</w:t>
      </w:r>
      <w:r w:rsidR="00D11537" w:rsidRPr="00FC3274">
        <w:rPr>
          <w:rFonts w:ascii="Aptos" w:hAnsi="Aptos" w:cstheme="minorHAnsi"/>
          <w:sz w:val="17"/>
          <w:szCs w:val="17"/>
        </w:rPr>
        <w:t xml:space="preserve"> criminal and</w:t>
      </w:r>
      <w:r w:rsidR="003E6189" w:rsidRPr="00FC3274">
        <w:rPr>
          <w:rFonts w:ascii="Aptos" w:hAnsi="Aptos" w:cstheme="minorHAnsi"/>
          <w:sz w:val="17"/>
          <w:szCs w:val="17"/>
        </w:rPr>
        <w:t xml:space="preserve"> a wide variety of</w:t>
      </w:r>
      <w:r w:rsidR="00D11537" w:rsidRPr="00FC3274">
        <w:rPr>
          <w:rFonts w:ascii="Aptos" w:hAnsi="Aptos" w:cstheme="minorHAnsi"/>
          <w:sz w:val="17"/>
          <w:szCs w:val="17"/>
        </w:rPr>
        <w:t xml:space="preserve"> civil</w:t>
      </w:r>
      <w:r w:rsidR="003644AD" w:rsidRPr="00FC3274">
        <w:rPr>
          <w:rFonts w:ascii="Aptos" w:hAnsi="Aptos" w:cstheme="minorHAnsi"/>
          <w:sz w:val="17"/>
          <w:szCs w:val="17"/>
        </w:rPr>
        <w:t xml:space="preserve"> </w:t>
      </w:r>
      <w:r w:rsidR="00DD24E1" w:rsidRPr="00FC3274">
        <w:rPr>
          <w:rFonts w:ascii="Aptos" w:hAnsi="Aptos" w:cstheme="minorHAnsi"/>
          <w:sz w:val="17"/>
          <w:szCs w:val="17"/>
        </w:rPr>
        <w:t>appeal</w:t>
      </w:r>
      <w:r w:rsidR="00FE4BF9" w:rsidRPr="00FC3274">
        <w:rPr>
          <w:rFonts w:ascii="Aptos" w:hAnsi="Aptos" w:cstheme="minorHAnsi"/>
          <w:sz w:val="17"/>
          <w:szCs w:val="17"/>
        </w:rPr>
        <w:t xml:space="preserve">s including </w:t>
      </w:r>
      <w:r w:rsidR="003644AD" w:rsidRPr="00FC3274">
        <w:rPr>
          <w:rFonts w:ascii="Aptos" w:hAnsi="Aptos" w:cstheme="minorHAnsi"/>
          <w:sz w:val="17"/>
          <w:szCs w:val="17"/>
        </w:rPr>
        <w:t>torts, contract disputes,</w:t>
      </w:r>
      <w:r w:rsidR="00534C02" w:rsidRPr="00FC3274">
        <w:rPr>
          <w:rFonts w:ascii="Aptos" w:hAnsi="Aptos" w:cstheme="minorHAnsi"/>
          <w:sz w:val="17"/>
          <w:szCs w:val="17"/>
        </w:rPr>
        <w:t xml:space="preserve"> construction disputes,</w:t>
      </w:r>
      <w:r w:rsidR="003644AD" w:rsidRPr="00FC3274">
        <w:rPr>
          <w:rFonts w:ascii="Aptos" w:hAnsi="Aptos" w:cstheme="minorHAnsi"/>
          <w:sz w:val="17"/>
          <w:szCs w:val="17"/>
        </w:rPr>
        <w:t xml:space="preserve"> insurance coverage and bad faith claims</w:t>
      </w:r>
      <w:r w:rsidR="00FE4BF9" w:rsidRPr="00FC3274">
        <w:rPr>
          <w:rFonts w:ascii="Aptos" w:hAnsi="Aptos" w:cstheme="minorHAnsi"/>
          <w:sz w:val="17"/>
          <w:szCs w:val="17"/>
        </w:rPr>
        <w:t xml:space="preserve">, </w:t>
      </w:r>
      <w:r w:rsidR="00534C02" w:rsidRPr="00FC3274">
        <w:rPr>
          <w:rFonts w:ascii="Aptos" w:hAnsi="Aptos" w:cstheme="minorHAnsi"/>
          <w:sz w:val="17"/>
          <w:szCs w:val="17"/>
        </w:rPr>
        <w:t xml:space="preserve">and </w:t>
      </w:r>
      <w:r w:rsidR="00D92A54" w:rsidRPr="00FC3274">
        <w:rPr>
          <w:rFonts w:ascii="Aptos" w:hAnsi="Aptos" w:cstheme="minorHAnsi"/>
          <w:sz w:val="17"/>
          <w:szCs w:val="17"/>
        </w:rPr>
        <w:t xml:space="preserve">land use and </w:t>
      </w:r>
      <w:r w:rsidR="00FE4BF9" w:rsidRPr="00FC3274">
        <w:rPr>
          <w:rFonts w:ascii="Aptos" w:hAnsi="Aptos" w:cstheme="minorHAnsi"/>
          <w:sz w:val="17"/>
          <w:szCs w:val="17"/>
        </w:rPr>
        <w:t>zoning</w:t>
      </w:r>
      <w:r w:rsidR="00534C02" w:rsidRPr="00FC3274">
        <w:rPr>
          <w:rFonts w:ascii="Aptos" w:hAnsi="Aptos" w:cstheme="minorHAnsi"/>
          <w:sz w:val="17"/>
          <w:szCs w:val="17"/>
        </w:rPr>
        <w:t xml:space="preserve"> cases</w:t>
      </w:r>
      <w:r w:rsidR="00D92A54" w:rsidRPr="00FC3274">
        <w:rPr>
          <w:rFonts w:ascii="Aptos" w:hAnsi="Aptos" w:cstheme="minorHAnsi"/>
          <w:sz w:val="17"/>
          <w:szCs w:val="17"/>
        </w:rPr>
        <w:t>.</w:t>
      </w:r>
      <w:r w:rsidR="00FE4BF9" w:rsidRPr="00FC3274">
        <w:rPr>
          <w:rFonts w:ascii="Aptos" w:hAnsi="Aptos" w:cstheme="minorHAnsi"/>
          <w:sz w:val="17"/>
          <w:szCs w:val="17"/>
        </w:rPr>
        <w:t xml:space="preserve"> </w:t>
      </w:r>
      <w:r w:rsidR="00DF243A" w:rsidRPr="00FC3274">
        <w:rPr>
          <w:rFonts w:ascii="Aptos" w:hAnsi="Aptos" w:cstheme="minorHAnsi"/>
          <w:sz w:val="17"/>
          <w:szCs w:val="17"/>
        </w:rPr>
        <w:t xml:space="preserve"> </w:t>
      </w:r>
    </w:p>
    <w:p w14:paraId="22713848" w14:textId="2A672A86" w:rsidR="00CD6320" w:rsidRPr="00FC3274" w:rsidRDefault="000047BD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>JoAnn’s</w:t>
      </w:r>
      <w:r w:rsidR="00EC6464" w:rsidRPr="00FC3274">
        <w:rPr>
          <w:rFonts w:ascii="Aptos" w:hAnsi="Aptos" w:cstheme="minorHAnsi"/>
          <w:sz w:val="17"/>
          <w:szCs w:val="17"/>
        </w:rPr>
        <w:t xml:space="preserve"> appellate background </w:t>
      </w:r>
      <w:r w:rsidR="00155ED5" w:rsidRPr="00FC3274">
        <w:rPr>
          <w:rFonts w:ascii="Aptos" w:hAnsi="Aptos" w:cstheme="minorHAnsi"/>
          <w:sz w:val="17"/>
          <w:szCs w:val="17"/>
        </w:rPr>
        <w:t xml:space="preserve">also benefits </w:t>
      </w:r>
      <w:r w:rsidR="00EC6464" w:rsidRPr="00FC3274">
        <w:rPr>
          <w:rFonts w:ascii="Aptos" w:hAnsi="Aptos" w:cstheme="minorHAnsi"/>
          <w:sz w:val="17"/>
          <w:szCs w:val="17"/>
        </w:rPr>
        <w:t>Guidant’s</w:t>
      </w:r>
      <w:r w:rsidRPr="00FC3274">
        <w:rPr>
          <w:rFonts w:ascii="Aptos" w:hAnsi="Aptos" w:cstheme="minorHAnsi"/>
          <w:sz w:val="17"/>
          <w:szCs w:val="17"/>
        </w:rPr>
        <w:t xml:space="preserve"> bankruptcy </w:t>
      </w:r>
      <w:r w:rsidR="0044324A" w:rsidRPr="00FC3274">
        <w:rPr>
          <w:rFonts w:ascii="Aptos" w:hAnsi="Aptos" w:cstheme="minorHAnsi"/>
          <w:sz w:val="17"/>
          <w:szCs w:val="17"/>
        </w:rPr>
        <w:t>clients</w:t>
      </w:r>
      <w:r w:rsidR="00AA4943" w:rsidRPr="00FC3274">
        <w:rPr>
          <w:rFonts w:ascii="Aptos" w:hAnsi="Aptos" w:cstheme="minorHAnsi"/>
          <w:sz w:val="17"/>
          <w:szCs w:val="17"/>
        </w:rPr>
        <w:t xml:space="preserve"> as she has</w:t>
      </w:r>
      <w:r w:rsidR="009E194C" w:rsidRPr="00FC3274">
        <w:rPr>
          <w:rFonts w:ascii="Aptos" w:hAnsi="Aptos" w:cstheme="minorHAnsi"/>
          <w:sz w:val="17"/>
          <w:szCs w:val="17"/>
        </w:rPr>
        <w:t xml:space="preserve"> represented </w:t>
      </w:r>
      <w:r w:rsidR="00282144" w:rsidRPr="00FC3274">
        <w:rPr>
          <w:rFonts w:ascii="Aptos" w:hAnsi="Aptos" w:cstheme="minorHAnsi"/>
          <w:sz w:val="17"/>
          <w:szCs w:val="17"/>
        </w:rPr>
        <w:t xml:space="preserve">debtor and creditor </w:t>
      </w:r>
      <w:r w:rsidR="009E194C" w:rsidRPr="00FC3274">
        <w:rPr>
          <w:rFonts w:ascii="Aptos" w:hAnsi="Aptos" w:cstheme="minorHAnsi"/>
          <w:sz w:val="17"/>
          <w:szCs w:val="17"/>
        </w:rPr>
        <w:t>clients in bankruptcy appeals as well as</w:t>
      </w:r>
      <w:r w:rsidR="002A0FC9" w:rsidRPr="00FC3274">
        <w:rPr>
          <w:rFonts w:ascii="Aptos" w:hAnsi="Aptos" w:cstheme="minorHAnsi"/>
          <w:sz w:val="17"/>
          <w:szCs w:val="17"/>
        </w:rPr>
        <w:t xml:space="preserve"> in</w:t>
      </w:r>
      <w:r w:rsidR="009E194C" w:rsidRPr="00FC3274">
        <w:rPr>
          <w:rFonts w:ascii="Aptos" w:hAnsi="Aptos" w:cstheme="minorHAnsi"/>
          <w:sz w:val="17"/>
          <w:szCs w:val="17"/>
        </w:rPr>
        <w:t xml:space="preserve"> proceedings before the bankruptcy court</w:t>
      </w:r>
      <w:r w:rsidR="00D06912" w:rsidRPr="00FC3274">
        <w:rPr>
          <w:rFonts w:ascii="Aptos" w:hAnsi="Aptos" w:cstheme="minorHAnsi"/>
          <w:sz w:val="17"/>
          <w:szCs w:val="17"/>
        </w:rPr>
        <w:t xml:space="preserve">. </w:t>
      </w:r>
      <w:r w:rsidR="00155ED5" w:rsidRPr="00FC3274">
        <w:rPr>
          <w:rFonts w:ascii="Aptos" w:hAnsi="Aptos" w:cstheme="minorHAnsi"/>
          <w:sz w:val="17"/>
          <w:szCs w:val="17"/>
        </w:rPr>
        <w:t>She began her career in the bankruptcy litigation section of a large firm in Phoenix and is excited to be doing this work again.</w:t>
      </w:r>
    </w:p>
    <w:p w14:paraId="19E989B1" w14:textId="545EC0B1" w:rsidR="0568FEDD" w:rsidRPr="00FC3274" w:rsidRDefault="00A8180F" w:rsidP="00946370">
      <w:pPr>
        <w:spacing w:line="240" w:lineRule="auto"/>
        <w:rPr>
          <w:rFonts w:ascii="Aptos" w:eastAsia="Calibri" w:hAnsi="Aptos" w:cstheme="minorHAnsi"/>
          <w:sz w:val="17"/>
          <w:szCs w:val="17"/>
        </w:rPr>
      </w:pPr>
      <w:r w:rsidRPr="00FC3274">
        <w:rPr>
          <w:rFonts w:ascii="Aptos" w:eastAsia="Calibri" w:hAnsi="Aptos" w:cstheme="minorHAnsi"/>
          <w:sz w:val="17"/>
          <w:szCs w:val="17"/>
        </w:rPr>
        <w:t xml:space="preserve">Committed to </w:t>
      </w:r>
      <w:r w:rsidR="00925599" w:rsidRPr="00FC3274">
        <w:rPr>
          <w:rFonts w:ascii="Aptos" w:eastAsia="Calibri" w:hAnsi="Aptos" w:cstheme="minorHAnsi"/>
          <w:sz w:val="17"/>
          <w:szCs w:val="17"/>
        </w:rPr>
        <w:t>shaping the future of the legal community, JoAnn helps prepare students</w:t>
      </w:r>
      <w:r w:rsidR="00CA4EAC" w:rsidRPr="00FC3274">
        <w:rPr>
          <w:rFonts w:ascii="Aptos" w:eastAsia="Calibri" w:hAnsi="Aptos" w:cstheme="minorHAnsi"/>
          <w:sz w:val="17"/>
          <w:szCs w:val="17"/>
        </w:rPr>
        <w:t xml:space="preserve"> </w:t>
      </w:r>
      <w:r w:rsidR="00837170" w:rsidRPr="00FC3274">
        <w:rPr>
          <w:rFonts w:ascii="Aptos" w:eastAsia="Calibri" w:hAnsi="Aptos" w:cstheme="minorHAnsi"/>
          <w:sz w:val="17"/>
          <w:szCs w:val="17"/>
        </w:rPr>
        <w:t xml:space="preserve">to </w:t>
      </w:r>
      <w:r w:rsidR="003E6189" w:rsidRPr="00FC3274">
        <w:rPr>
          <w:rFonts w:ascii="Aptos" w:eastAsia="Calibri" w:hAnsi="Aptos" w:cstheme="minorHAnsi"/>
          <w:sz w:val="17"/>
          <w:szCs w:val="17"/>
        </w:rPr>
        <w:t>obtain</w:t>
      </w:r>
      <w:r w:rsidR="00837170" w:rsidRPr="00FC3274">
        <w:rPr>
          <w:rFonts w:ascii="Aptos" w:eastAsia="Calibri" w:hAnsi="Aptos" w:cstheme="minorHAnsi"/>
          <w:sz w:val="17"/>
          <w:szCs w:val="17"/>
        </w:rPr>
        <w:t xml:space="preserve"> excellent scores on </w:t>
      </w:r>
      <w:r w:rsidR="00CA4EAC" w:rsidRPr="00FC3274">
        <w:rPr>
          <w:rFonts w:ascii="Aptos" w:eastAsia="Calibri" w:hAnsi="Aptos" w:cstheme="minorHAnsi"/>
          <w:sz w:val="17"/>
          <w:szCs w:val="17"/>
        </w:rPr>
        <w:t>the Law School Admissions Test and has also taught</w:t>
      </w:r>
      <w:r w:rsidR="0568FEDD" w:rsidRPr="00FC3274">
        <w:rPr>
          <w:rFonts w:ascii="Aptos" w:eastAsia="Calibri" w:hAnsi="Aptos" w:cstheme="minorHAnsi"/>
          <w:sz w:val="17"/>
          <w:szCs w:val="17"/>
        </w:rPr>
        <w:t xml:space="preserve"> for the Phoenix School of Law</w:t>
      </w:r>
      <w:r w:rsidR="00CA4EAC" w:rsidRPr="00FC3274">
        <w:rPr>
          <w:rFonts w:ascii="Aptos" w:eastAsia="Calibri" w:hAnsi="Aptos" w:cstheme="minorHAnsi"/>
          <w:sz w:val="17"/>
          <w:szCs w:val="17"/>
        </w:rPr>
        <w:t xml:space="preserve"> as an adjunct professor</w:t>
      </w:r>
      <w:r w:rsidR="0568FEDD" w:rsidRPr="00FC3274">
        <w:rPr>
          <w:rFonts w:ascii="Aptos" w:eastAsia="Calibri" w:hAnsi="Aptos" w:cstheme="minorHAnsi"/>
          <w:sz w:val="17"/>
          <w:szCs w:val="17"/>
        </w:rPr>
        <w:t>. She earned her J.D. from Arizona State University</w:t>
      </w:r>
      <w:r w:rsidR="000D6D1D" w:rsidRPr="00FC3274">
        <w:rPr>
          <w:rFonts w:ascii="Aptos" w:eastAsia="Calibri" w:hAnsi="Aptos" w:cstheme="minorHAnsi"/>
          <w:sz w:val="17"/>
          <w:szCs w:val="17"/>
        </w:rPr>
        <w:t xml:space="preserve">, where she was a student instructor for the legal writing class and tutored </w:t>
      </w:r>
      <w:r w:rsidR="00282144" w:rsidRPr="00FC3274">
        <w:rPr>
          <w:rFonts w:ascii="Aptos" w:eastAsia="Calibri" w:hAnsi="Aptos" w:cstheme="minorHAnsi"/>
          <w:sz w:val="17"/>
          <w:szCs w:val="17"/>
        </w:rPr>
        <w:t>students struggling with the first-year contracts class</w:t>
      </w:r>
      <w:r w:rsidR="0568FEDD" w:rsidRPr="00FC3274">
        <w:rPr>
          <w:rFonts w:ascii="Aptos" w:eastAsia="Calibri" w:hAnsi="Aptos" w:cstheme="minorHAnsi"/>
          <w:sz w:val="17"/>
          <w:szCs w:val="17"/>
        </w:rPr>
        <w:t xml:space="preserve">. </w:t>
      </w:r>
    </w:p>
    <w:p w14:paraId="0231F3FF" w14:textId="77777777" w:rsidR="000F7B24" w:rsidRPr="00FC3274" w:rsidRDefault="000F7B24" w:rsidP="00946370">
      <w:pPr>
        <w:spacing w:line="240" w:lineRule="auto"/>
        <w:rPr>
          <w:rFonts w:ascii="Aptos" w:hAnsi="Aptos"/>
          <w:b/>
          <w:bCs/>
          <w:sz w:val="17"/>
          <w:szCs w:val="17"/>
        </w:rPr>
      </w:pPr>
      <w:r w:rsidRPr="00FC3274">
        <w:rPr>
          <w:rFonts w:ascii="Aptos" w:hAnsi="Aptos"/>
          <w:b/>
          <w:bCs/>
          <w:sz w:val="17"/>
          <w:szCs w:val="17"/>
        </w:rPr>
        <w:t xml:space="preserve">Activities &amp; Memberships </w:t>
      </w:r>
    </w:p>
    <w:p w14:paraId="3B2BD4C7" w14:textId="1DA3DA4D" w:rsidR="00C7489B" w:rsidRPr="00FC3274" w:rsidRDefault="009E194C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Maricopa County Bar Association</w:t>
      </w:r>
      <w:r w:rsidR="002C6B1B" w:rsidRPr="00FC3274">
        <w:rPr>
          <w:rFonts w:ascii="Aptos" w:eastAsia="Times New Roman" w:hAnsi="Aptos" w:cs="Times New Roman"/>
          <w:color w:val="212121"/>
          <w:sz w:val="17"/>
          <w:szCs w:val="17"/>
        </w:rPr>
        <w:t xml:space="preserve"> </w:t>
      </w:r>
    </w:p>
    <w:p w14:paraId="2930B8E5" w14:textId="1E0183D9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State Bar Appellate Practice Section</w:t>
      </w:r>
    </w:p>
    <w:p w14:paraId="4D31FEC2" w14:textId="77777777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State Bar Bankruptcy Law Section</w:t>
      </w:r>
    </w:p>
    <w:p w14:paraId="120742F4" w14:textId="77777777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State Bar Alternative Dispute Resolution Section</w:t>
      </w:r>
    </w:p>
    <w:p w14:paraId="71F0C334" w14:textId="3FF6312B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Bankruptcy American Inn of Court</w:t>
      </w:r>
    </w:p>
    <w:p w14:paraId="1EEBFB07" w14:textId="77777777" w:rsidR="00F74C54" w:rsidRPr="00FC3274" w:rsidRDefault="00F74C54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 xml:space="preserve">Recognitions </w:t>
      </w:r>
    </w:p>
    <w:p w14:paraId="5E09FC5B" w14:textId="77777777" w:rsidR="00F74C54" w:rsidRPr="00FC3274" w:rsidRDefault="00F74C54" w:rsidP="00946370">
      <w:pPr>
        <w:pStyle w:val="ListParagraph"/>
        <w:numPr>
          <w:ilvl w:val="0"/>
          <w:numId w:val="1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i/>
          <w:iCs/>
          <w:color w:val="000000" w:themeColor="text1"/>
          <w:sz w:val="17"/>
          <w:szCs w:val="17"/>
        </w:rPr>
        <w:t>The Best Lawyers in America</w:t>
      </w: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 xml:space="preserve">©: Appellate Practice Bankruptcy and Creditor Debtor Rights / Insolvency and Reorganization Law (2024, 2025) </w:t>
      </w:r>
    </w:p>
    <w:p w14:paraId="15CD9693" w14:textId="77777777" w:rsidR="00F74C54" w:rsidRPr="00FC3274" w:rsidRDefault="00F74C54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 xml:space="preserve">Presentations </w:t>
      </w:r>
    </w:p>
    <w:p w14:paraId="0B163642" w14:textId="0236952A" w:rsidR="00F74C54" w:rsidRPr="00FC3274" w:rsidRDefault="00F74C54" w:rsidP="00946370">
      <w:pPr>
        <w:pStyle w:val="ListParagraph"/>
        <w:numPr>
          <w:ilvl w:val="0"/>
          <w:numId w:val="6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Presenter, "Exploring the Differences in Male and Female Judicial Decision-Making," Arizona Bankruptcy American Inn of Court (Oct. 2024)</w:t>
      </w:r>
    </w:p>
    <w:p w14:paraId="6E2C45EF" w14:textId="77777777" w:rsidR="00F74C54" w:rsidRPr="00FC3274" w:rsidRDefault="00F74C54" w:rsidP="00946370">
      <w:pPr>
        <w:pStyle w:val="ListParagraph"/>
        <w:numPr>
          <w:ilvl w:val="0"/>
          <w:numId w:val="6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Presenter, "Balancing the Scales of Justice in Bankruptcy," State Bar of Arizona 2024 Convention (Jun. 2024)</w:t>
      </w:r>
    </w:p>
    <w:p w14:paraId="3383D85D" w14:textId="03051506" w:rsidR="00F74C54" w:rsidRDefault="00F74C54" w:rsidP="00946370">
      <w:pPr>
        <w:pStyle w:val="ListParagraph"/>
        <w:numPr>
          <w:ilvl w:val="0"/>
          <w:numId w:val="6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Presenter, "Noisy? Or Nice? (The Subtle Art of Withdrawal)," Arizona Bankruptcy American Inn of Court (Feb. 2024)</w:t>
      </w:r>
    </w:p>
    <w:p w14:paraId="144B6DB8" w14:textId="77777777" w:rsidR="006046D4" w:rsidRPr="00812A36" w:rsidRDefault="006046D4" w:rsidP="006046D4">
      <w:pPr>
        <w:spacing w:line="240" w:lineRule="auto"/>
        <w:rPr>
          <w:rFonts w:ascii="Aptos" w:hAnsi="Aptos"/>
          <w:b/>
          <w:sz w:val="18"/>
          <w:szCs w:val="18"/>
        </w:rPr>
      </w:pPr>
      <w:r w:rsidRPr="00812A36">
        <w:rPr>
          <w:rFonts w:ascii="Aptos" w:hAnsi="Aptos"/>
          <w:b/>
          <w:bCs/>
          <w:sz w:val="18"/>
          <w:szCs w:val="18"/>
        </w:rPr>
        <w:t xml:space="preserve">Publications </w:t>
      </w:r>
    </w:p>
    <w:p w14:paraId="520D0068" w14:textId="026DC66E" w:rsidR="006046D4" w:rsidRPr="006046D4" w:rsidRDefault="006046D4" w:rsidP="006046D4">
      <w:pPr>
        <w:pStyle w:val="ListParagraph"/>
        <w:numPr>
          <w:ilvl w:val="0"/>
          <w:numId w:val="7"/>
        </w:numPr>
        <w:spacing w:line="240" w:lineRule="auto"/>
        <w:rPr>
          <w:rFonts w:ascii="Aptos" w:hAnsi="Aptos"/>
          <w:b/>
          <w:bCs/>
          <w:sz w:val="18"/>
          <w:szCs w:val="18"/>
        </w:rPr>
      </w:pPr>
      <w:r w:rsidRPr="11E5C664">
        <w:rPr>
          <w:rFonts w:ascii="Aptos" w:hAnsi="Aptos"/>
          <w:sz w:val="18"/>
          <w:szCs w:val="18"/>
        </w:rPr>
        <w:t>Author, “</w:t>
      </w:r>
      <w:r w:rsidR="00AF271D">
        <w:rPr>
          <w:rFonts w:ascii="Aptos" w:hAnsi="Aptos"/>
          <w:sz w:val="18"/>
          <w:szCs w:val="18"/>
        </w:rPr>
        <w:t>Finding a Path in Financial Hardship</w:t>
      </w:r>
      <w:r w:rsidRPr="00AA38A1">
        <w:rPr>
          <w:rFonts w:ascii="Aptos" w:hAnsi="Aptos"/>
          <w:color w:val="333333"/>
          <w:sz w:val="18"/>
          <w:szCs w:val="18"/>
        </w:rPr>
        <w:t>,</w:t>
      </w:r>
      <w:r w:rsidRPr="00AA38A1">
        <w:rPr>
          <w:rFonts w:ascii="Aptos" w:hAnsi="Aptos"/>
          <w:sz w:val="18"/>
          <w:szCs w:val="18"/>
        </w:rPr>
        <w:t xml:space="preserve">” </w:t>
      </w:r>
      <w:r w:rsidR="00F27A7E" w:rsidRPr="00F27A7E">
        <w:rPr>
          <w:rFonts w:ascii="Aptos" w:hAnsi="Aptos"/>
          <w:i/>
          <w:iCs/>
          <w:sz w:val="18"/>
          <w:szCs w:val="18"/>
        </w:rPr>
        <w:t>Ahwatukee Foothills News</w:t>
      </w:r>
      <w:r w:rsidR="00F27A7E" w:rsidRPr="00F27A7E">
        <w:rPr>
          <w:rFonts w:ascii="Aptos" w:hAnsi="Aptos"/>
          <w:sz w:val="18"/>
          <w:szCs w:val="18"/>
        </w:rPr>
        <w:t xml:space="preserve"> </w:t>
      </w:r>
      <w:r w:rsidRPr="00AA38A1">
        <w:rPr>
          <w:rFonts w:ascii="Aptos" w:hAnsi="Aptos"/>
          <w:sz w:val="18"/>
          <w:szCs w:val="18"/>
        </w:rPr>
        <w:t>(</w:t>
      </w:r>
      <w:r>
        <w:rPr>
          <w:rFonts w:ascii="Aptos" w:hAnsi="Aptos"/>
          <w:sz w:val="18"/>
          <w:szCs w:val="18"/>
        </w:rPr>
        <w:t>April</w:t>
      </w:r>
      <w:r w:rsidRPr="00AA38A1">
        <w:rPr>
          <w:rFonts w:ascii="Aptos" w:hAnsi="Aptos"/>
          <w:sz w:val="18"/>
          <w:szCs w:val="18"/>
        </w:rPr>
        <w:t xml:space="preserve"> 2025)</w:t>
      </w:r>
    </w:p>
    <w:p w14:paraId="40B28061" w14:textId="10850DBB" w:rsidR="0568FEDD" w:rsidRPr="00FC3274" w:rsidRDefault="0568FEDD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>Education</w:t>
      </w:r>
    </w:p>
    <w:p w14:paraId="2364D74B" w14:textId="237917F8" w:rsidR="0568FEDD" w:rsidRPr="00FC3274" w:rsidRDefault="0568FEDD" w:rsidP="00946370">
      <w:pPr>
        <w:pStyle w:val="ListParagraph"/>
        <w:numPr>
          <w:ilvl w:val="0"/>
          <w:numId w:val="4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 xml:space="preserve">J.D., Arizona State University Sandra Day O’Connor </w:t>
      </w:r>
      <w:r w:rsidR="009B4706"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College</w:t>
      </w: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 xml:space="preserve"> of Law</w:t>
      </w:r>
    </w:p>
    <w:p w14:paraId="09AC4CCD" w14:textId="07097CB8" w:rsidR="0568FEDD" w:rsidRPr="00FC3274" w:rsidRDefault="0568FEDD" w:rsidP="00946370">
      <w:pPr>
        <w:pStyle w:val="ListParagraph"/>
        <w:numPr>
          <w:ilvl w:val="1"/>
          <w:numId w:val="4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Cum Laude graduate</w:t>
      </w:r>
    </w:p>
    <w:p w14:paraId="3D85104C" w14:textId="12025159" w:rsidR="0568FEDD" w:rsidRPr="00FC3274" w:rsidRDefault="0568FEDD" w:rsidP="00946370">
      <w:pPr>
        <w:pStyle w:val="ListParagraph"/>
        <w:numPr>
          <w:ilvl w:val="0"/>
          <w:numId w:val="4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B.A., Psychology &amp; Religious Studies, University of Virginia</w:t>
      </w:r>
    </w:p>
    <w:p w14:paraId="577F759D" w14:textId="223A377E" w:rsidR="0568FEDD" w:rsidRPr="00FC3274" w:rsidRDefault="0568FEDD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>Bar Admissions</w:t>
      </w:r>
    </w:p>
    <w:p w14:paraId="7B3225DE" w14:textId="27E4393A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</w:t>
      </w:r>
    </w:p>
    <w:p w14:paraId="6FD5789B" w14:textId="5046335B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United States District Court for the District of Arizona </w:t>
      </w:r>
    </w:p>
    <w:p w14:paraId="7300766C" w14:textId="48E4B96C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United States Court of Appeals for the </w:t>
      </w:r>
      <w:r w:rsidR="00060EFE" w:rsidRPr="00FC3274">
        <w:rPr>
          <w:rFonts w:ascii="Aptos" w:hAnsi="Aptos" w:cstheme="minorHAnsi"/>
          <w:sz w:val="17"/>
          <w:szCs w:val="17"/>
        </w:rPr>
        <w:t>9</w:t>
      </w:r>
      <w:r w:rsidR="00060EFE" w:rsidRPr="00FC3274">
        <w:rPr>
          <w:rFonts w:ascii="Aptos" w:hAnsi="Aptos" w:cstheme="minorHAnsi"/>
          <w:sz w:val="17"/>
          <w:szCs w:val="17"/>
          <w:vertAlign w:val="superscript"/>
        </w:rPr>
        <w:t>th</w:t>
      </w:r>
      <w:r w:rsidRPr="00FC3274">
        <w:rPr>
          <w:rFonts w:ascii="Aptos" w:hAnsi="Aptos" w:cstheme="minorHAnsi"/>
          <w:sz w:val="17"/>
          <w:szCs w:val="17"/>
        </w:rPr>
        <w:t xml:space="preserve"> Circuit </w:t>
      </w:r>
    </w:p>
    <w:p w14:paraId="170B344B" w14:textId="5B2F9761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>United States Supreme Court</w:t>
      </w:r>
    </w:p>
    <w:p w14:paraId="01E9C81C" w14:textId="77777777" w:rsidR="008D2A5D" w:rsidRPr="00946370" w:rsidRDefault="008D2A5D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8"/>
          <w:szCs w:val="18"/>
        </w:rPr>
      </w:pPr>
    </w:p>
    <w:p w14:paraId="280C67B0" w14:textId="4E86C253" w:rsidR="4E5DFFDB" w:rsidRPr="00946370" w:rsidRDefault="4E5DFFDB" w:rsidP="00946370">
      <w:pPr>
        <w:spacing w:line="240" w:lineRule="auto"/>
        <w:rPr>
          <w:rFonts w:ascii="Aptos" w:hAnsi="Aptos" w:cstheme="minorHAnsi"/>
          <w:sz w:val="18"/>
          <w:szCs w:val="18"/>
        </w:rPr>
      </w:pPr>
    </w:p>
    <w:sectPr w:rsidR="4E5DFFDB" w:rsidRPr="00946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48AA" w14:textId="77777777" w:rsidR="00723F2D" w:rsidRDefault="00723F2D" w:rsidP="003A3AEA">
      <w:pPr>
        <w:spacing w:after="0" w:line="240" w:lineRule="auto"/>
      </w:pPr>
      <w:r>
        <w:separator/>
      </w:r>
    </w:p>
  </w:endnote>
  <w:endnote w:type="continuationSeparator" w:id="0">
    <w:p w14:paraId="01512CF7" w14:textId="77777777" w:rsidR="00723F2D" w:rsidRDefault="00723F2D" w:rsidP="003A3AEA">
      <w:pPr>
        <w:spacing w:after="0" w:line="240" w:lineRule="auto"/>
      </w:pPr>
      <w:r>
        <w:continuationSeparator/>
      </w:r>
    </w:p>
  </w:endnote>
  <w:endnote w:type="continuationNotice" w:id="1">
    <w:p w14:paraId="7D6AB5AB" w14:textId="77777777" w:rsidR="00E82C0E" w:rsidRDefault="00E82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251E" w14:textId="77777777" w:rsidR="00DB5A80" w:rsidRDefault="00DB5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846F" w14:textId="77777777" w:rsidR="00DB5A80" w:rsidRDefault="00DB5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14BB" w14:textId="77777777" w:rsidR="00DB5A80" w:rsidRDefault="00DB5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AC3DF" w14:textId="77777777" w:rsidR="00723F2D" w:rsidRDefault="00723F2D" w:rsidP="003A3AEA">
      <w:pPr>
        <w:spacing w:after="0" w:line="240" w:lineRule="auto"/>
      </w:pPr>
      <w:r>
        <w:separator/>
      </w:r>
    </w:p>
  </w:footnote>
  <w:footnote w:type="continuationSeparator" w:id="0">
    <w:p w14:paraId="334A27AF" w14:textId="77777777" w:rsidR="00723F2D" w:rsidRDefault="00723F2D" w:rsidP="003A3AEA">
      <w:pPr>
        <w:spacing w:after="0" w:line="240" w:lineRule="auto"/>
      </w:pPr>
      <w:r>
        <w:continuationSeparator/>
      </w:r>
    </w:p>
  </w:footnote>
  <w:footnote w:type="continuationNotice" w:id="1">
    <w:p w14:paraId="56945121" w14:textId="77777777" w:rsidR="00E82C0E" w:rsidRDefault="00E82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4AE3" w14:textId="77777777" w:rsidR="00DB5A80" w:rsidRDefault="00DB5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C81E" w14:textId="69C78C8C" w:rsidR="003A3AEA" w:rsidRDefault="00DB5A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7C8AD" wp14:editId="66A1A11D">
          <wp:simplePos x="0" y="0"/>
          <wp:positionH relativeFrom="column">
            <wp:posOffset>4994486</wp:posOffset>
          </wp:positionH>
          <wp:positionV relativeFrom="paragraph">
            <wp:posOffset>-100965</wp:posOffset>
          </wp:positionV>
          <wp:extent cx="1517650" cy="463550"/>
          <wp:effectExtent l="0" t="0" r="6350" b="6350"/>
          <wp:wrapSquare wrapText="bothSides"/>
          <wp:docPr id="105684271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4271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A7A0" w14:textId="77777777" w:rsidR="00DB5A80" w:rsidRDefault="00DB5A8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5E56"/>
    <w:multiLevelType w:val="hybridMultilevel"/>
    <w:tmpl w:val="AC860B5A"/>
    <w:lvl w:ilvl="0" w:tplc="F8DA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E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68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84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27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A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EF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C9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2A02"/>
    <w:multiLevelType w:val="hybridMultilevel"/>
    <w:tmpl w:val="767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BD44"/>
    <w:multiLevelType w:val="hybridMultilevel"/>
    <w:tmpl w:val="E60CF996"/>
    <w:lvl w:ilvl="0" w:tplc="97AC4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6D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2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2D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0A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20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64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CA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7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CCA1"/>
    <w:multiLevelType w:val="hybridMultilevel"/>
    <w:tmpl w:val="F77008B6"/>
    <w:lvl w:ilvl="0" w:tplc="97A8A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0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8D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6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63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0A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0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1239"/>
    <w:multiLevelType w:val="hybridMultilevel"/>
    <w:tmpl w:val="A270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E5154"/>
    <w:multiLevelType w:val="hybridMultilevel"/>
    <w:tmpl w:val="69BE0536"/>
    <w:lvl w:ilvl="0" w:tplc="3CEE0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1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E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CC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0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E1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4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8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3AED"/>
    <w:multiLevelType w:val="hybridMultilevel"/>
    <w:tmpl w:val="11AE7F0A"/>
    <w:lvl w:ilvl="0" w:tplc="21F0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8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4A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2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E9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8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0282">
    <w:abstractNumId w:val="6"/>
  </w:num>
  <w:num w:numId="2" w16cid:durableId="1439644086">
    <w:abstractNumId w:val="3"/>
  </w:num>
  <w:num w:numId="3" w16cid:durableId="1688215185">
    <w:abstractNumId w:val="5"/>
  </w:num>
  <w:num w:numId="4" w16cid:durableId="983655229">
    <w:abstractNumId w:val="0"/>
  </w:num>
  <w:num w:numId="5" w16cid:durableId="1726561239">
    <w:abstractNumId w:val="2"/>
  </w:num>
  <w:num w:numId="6" w16cid:durableId="1546402860">
    <w:abstractNumId w:val="1"/>
  </w:num>
  <w:num w:numId="7" w16cid:durableId="176318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6D47D"/>
    <w:rsid w:val="00003BB4"/>
    <w:rsid w:val="000047BD"/>
    <w:rsid w:val="00044890"/>
    <w:rsid w:val="00060EFE"/>
    <w:rsid w:val="000C4920"/>
    <w:rsid w:val="000D6D1D"/>
    <w:rsid w:val="000F0885"/>
    <w:rsid w:val="000F7B24"/>
    <w:rsid w:val="0013181D"/>
    <w:rsid w:val="00145BCA"/>
    <w:rsid w:val="0014778B"/>
    <w:rsid w:val="00155ED5"/>
    <w:rsid w:val="00161349"/>
    <w:rsid w:val="001EC954"/>
    <w:rsid w:val="0020648E"/>
    <w:rsid w:val="00216028"/>
    <w:rsid w:val="00227164"/>
    <w:rsid w:val="00247AF6"/>
    <w:rsid w:val="00261E5C"/>
    <w:rsid w:val="00282144"/>
    <w:rsid w:val="002A0FC9"/>
    <w:rsid w:val="002C6B1B"/>
    <w:rsid w:val="0030606E"/>
    <w:rsid w:val="0035168C"/>
    <w:rsid w:val="003644AD"/>
    <w:rsid w:val="00372567"/>
    <w:rsid w:val="00387942"/>
    <w:rsid w:val="003A3AEA"/>
    <w:rsid w:val="003B3A3F"/>
    <w:rsid w:val="003C4F8A"/>
    <w:rsid w:val="003C7ABC"/>
    <w:rsid w:val="003D0977"/>
    <w:rsid w:val="003E6189"/>
    <w:rsid w:val="0044312D"/>
    <w:rsid w:val="0044324A"/>
    <w:rsid w:val="004563AB"/>
    <w:rsid w:val="00457826"/>
    <w:rsid w:val="00477550"/>
    <w:rsid w:val="004F39DB"/>
    <w:rsid w:val="00534C02"/>
    <w:rsid w:val="0054740E"/>
    <w:rsid w:val="005C40C7"/>
    <w:rsid w:val="005D472A"/>
    <w:rsid w:val="006046D4"/>
    <w:rsid w:val="00660FB1"/>
    <w:rsid w:val="006B25CA"/>
    <w:rsid w:val="006D5A9D"/>
    <w:rsid w:val="006E3F13"/>
    <w:rsid w:val="006F77F8"/>
    <w:rsid w:val="00723F2D"/>
    <w:rsid w:val="00732479"/>
    <w:rsid w:val="00733FB3"/>
    <w:rsid w:val="00785A35"/>
    <w:rsid w:val="007E690B"/>
    <w:rsid w:val="007F00E0"/>
    <w:rsid w:val="008266F7"/>
    <w:rsid w:val="00827A60"/>
    <w:rsid w:val="00837170"/>
    <w:rsid w:val="00895F21"/>
    <w:rsid w:val="008B01D6"/>
    <w:rsid w:val="008C0EBF"/>
    <w:rsid w:val="008D2A5D"/>
    <w:rsid w:val="00925599"/>
    <w:rsid w:val="0094329D"/>
    <w:rsid w:val="00946370"/>
    <w:rsid w:val="009A3068"/>
    <w:rsid w:val="009B4706"/>
    <w:rsid w:val="009D279C"/>
    <w:rsid w:val="009D6BA3"/>
    <w:rsid w:val="009E194C"/>
    <w:rsid w:val="00A11DE8"/>
    <w:rsid w:val="00A533B2"/>
    <w:rsid w:val="00A64AEF"/>
    <w:rsid w:val="00A8180F"/>
    <w:rsid w:val="00A86651"/>
    <w:rsid w:val="00AA4943"/>
    <w:rsid w:val="00AF1BA1"/>
    <w:rsid w:val="00AF271D"/>
    <w:rsid w:val="00B011BC"/>
    <w:rsid w:val="00B0730B"/>
    <w:rsid w:val="00B44CAA"/>
    <w:rsid w:val="00B62FDC"/>
    <w:rsid w:val="00B7324B"/>
    <w:rsid w:val="00C35A7E"/>
    <w:rsid w:val="00C36621"/>
    <w:rsid w:val="00C54055"/>
    <w:rsid w:val="00C7489B"/>
    <w:rsid w:val="00C97D15"/>
    <w:rsid w:val="00CA4EAC"/>
    <w:rsid w:val="00CA7B1A"/>
    <w:rsid w:val="00CB165A"/>
    <w:rsid w:val="00CB2376"/>
    <w:rsid w:val="00CD6320"/>
    <w:rsid w:val="00CD7CB6"/>
    <w:rsid w:val="00CE528A"/>
    <w:rsid w:val="00D06912"/>
    <w:rsid w:val="00D07D06"/>
    <w:rsid w:val="00D11537"/>
    <w:rsid w:val="00D1371A"/>
    <w:rsid w:val="00D20170"/>
    <w:rsid w:val="00D210A4"/>
    <w:rsid w:val="00D26123"/>
    <w:rsid w:val="00D33FCD"/>
    <w:rsid w:val="00D4446C"/>
    <w:rsid w:val="00D45FE0"/>
    <w:rsid w:val="00D61845"/>
    <w:rsid w:val="00D92A54"/>
    <w:rsid w:val="00DA24DA"/>
    <w:rsid w:val="00DB1F49"/>
    <w:rsid w:val="00DB5A80"/>
    <w:rsid w:val="00DD24E1"/>
    <w:rsid w:val="00DE56A7"/>
    <w:rsid w:val="00DF243A"/>
    <w:rsid w:val="00E41431"/>
    <w:rsid w:val="00E82C0E"/>
    <w:rsid w:val="00EA2CD8"/>
    <w:rsid w:val="00EB28B3"/>
    <w:rsid w:val="00EC6464"/>
    <w:rsid w:val="00ED4D72"/>
    <w:rsid w:val="00EF5FCD"/>
    <w:rsid w:val="00F27A7E"/>
    <w:rsid w:val="00F62495"/>
    <w:rsid w:val="00F66831"/>
    <w:rsid w:val="00F74C54"/>
    <w:rsid w:val="00FB55D4"/>
    <w:rsid w:val="00FC3274"/>
    <w:rsid w:val="00FC4066"/>
    <w:rsid w:val="00FD7533"/>
    <w:rsid w:val="00FE4BF9"/>
    <w:rsid w:val="00FF0E4C"/>
    <w:rsid w:val="01B8466D"/>
    <w:rsid w:val="028169BE"/>
    <w:rsid w:val="0568FEDD"/>
    <w:rsid w:val="06B8AA7A"/>
    <w:rsid w:val="08547ADB"/>
    <w:rsid w:val="08F0AB42"/>
    <w:rsid w:val="08F33AF8"/>
    <w:rsid w:val="0FC8BA29"/>
    <w:rsid w:val="10FBBD27"/>
    <w:rsid w:val="1115672B"/>
    <w:rsid w:val="139F1B08"/>
    <w:rsid w:val="14363D70"/>
    <w:rsid w:val="1471C818"/>
    <w:rsid w:val="16D6BBCA"/>
    <w:rsid w:val="19F5342F"/>
    <w:rsid w:val="1AB669FA"/>
    <w:rsid w:val="1C7CD9FD"/>
    <w:rsid w:val="1C84C783"/>
    <w:rsid w:val="1D922212"/>
    <w:rsid w:val="1ED9E029"/>
    <w:rsid w:val="1FBC6845"/>
    <w:rsid w:val="204C6770"/>
    <w:rsid w:val="23884BE8"/>
    <w:rsid w:val="25241C49"/>
    <w:rsid w:val="262BA9C9"/>
    <w:rsid w:val="284294AE"/>
    <w:rsid w:val="295B5D05"/>
    <w:rsid w:val="29DE650F"/>
    <w:rsid w:val="2C89B076"/>
    <w:rsid w:val="2CC17B05"/>
    <w:rsid w:val="2E1D9351"/>
    <w:rsid w:val="2E2580D7"/>
    <w:rsid w:val="2FB963B2"/>
    <w:rsid w:val="31666EEA"/>
    <w:rsid w:val="31743BE7"/>
    <w:rsid w:val="31F1647A"/>
    <w:rsid w:val="322F923B"/>
    <w:rsid w:val="32BE774C"/>
    <w:rsid w:val="33023F4B"/>
    <w:rsid w:val="34C94992"/>
    <w:rsid w:val="3582E0D2"/>
    <w:rsid w:val="36219FF4"/>
    <w:rsid w:val="37DD9DF4"/>
    <w:rsid w:val="3806D47D"/>
    <w:rsid w:val="3860A5FE"/>
    <w:rsid w:val="397E8742"/>
    <w:rsid w:val="399F6695"/>
    <w:rsid w:val="39FC765F"/>
    <w:rsid w:val="3B153EB6"/>
    <w:rsid w:val="3DBE8A7B"/>
    <w:rsid w:val="3E33B71B"/>
    <w:rsid w:val="3ED29438"/>
    <w:rsid w:val="401BAC40"/>
    <w:rsid w:val="40D9689E"/>
    <w:rsid w:val="40F1620B"/>
    <w:rsid w:val="4320509B"/>
    <w:rsid w:val="47328BF3"/>
    <w:rsid w:val="498F921F"/>
    <w:rsid w:val="4C890520"/>
    <w:rsid w:val="4E5DFFDB"/>
    <w:rsid w:val="51E910D7"/>
    <w:rsid w:val="526403C3"/>
    <w:rsid w:val="53FFD424"/>
    <w:rsid w:val="56AEA41B"/>
    <w:rsid w:val="59C0679F"/>
    <w:rsid w:val="5C7F882B"/>
    <w:rsid w:val="5CDF44AB"/>
    <w:rsid w:val="5D36738B"/>
    <w:rsid w:val="5DB7F141"/>
    <w:rsid w:val="6092F273"/>
    <w:rsid w:val="6286465B"/>
    <w:rsid w:val="6415F7EE"/>
    <w:rsid w:val="64F09284"/>
    <w:rsid w:val="6720A5C6"/>
    <w:rsid w:val="69C403A7"/>
    <w:rsid w:val="6A2D3128"/>
    <w:rsid w:val="6BC97747"/>
    <w:rsid w:val="6DC35123"/>
    <w:rsid w:val="7033452B"/>
    <w:rsid w:val="72904B57"/>
    <w:rsid w:val="736AE5ED"/>
    <w:rsid w:val="73840598"/>
    <w:rsid w:val="73C8AEA4"/>
    <w:rsid w:val="753C55CE"/>
    <w:rsid w:val="75C7EC19"/>
    <w:rsid w:val="763FC001"/>
    <w:rsid w:val="7810F437"/>
    <w:rsid w:val="7834A9A7"/>
    <w:rsid w:val="78464496"/>
    <w:rsid w:val="785E8DD4"/>
    <w:rsid w:val="78D299F1"/>
    <w:rsid w:val="798294E5"/>
    <w:rsid w:val="7A6E6A52"/>
    <w:rsid w:val="7B64BCFB"/>
    <w:rsid w:val="7B7DE558"/>
    <w:rsid w:val="7D008D5C"/>
    <w:rsid w:val="7D19B5B9"/>
    <w:rsid w:val="7F0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D47D"/>
  <w15:chartTrackingRefBased/>
  <w15:docId w15:val="{ED37815C-7074-4B46-BC40-668C988F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F08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A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3F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EA"/>
  </w:style>
  <w:style w:type="paragraph" w:styleId="Footer">
    <w:name w:val="footer"/>
    <w:basedOn w:val="Normal"/>
    <w:link w:val="FooterChar"/>
    <w:uiPriority w:val="99"/>
    <w:unhideWhenUsed/>
    <w:rsid w:val="003A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ann.falgout@guidant.law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70EDD467A6E43B91FB2004247A138" ma:contentTypeVersion="19" ma:contentTypeDescription="Create a new document." ma:contentTypeScope="" ma:versionID="c728d9e03d808ce157afb3ba8067c0f0">
  <xsd:schema xmlns:xsd="http://www.w3.org/2001/XMLSchema" xmlns:xs="http://www.w3.org/2001/XMLSchema" xmlns:p="http://schemas.microsoft.com/office/2006/metadata/properties" xmlns:ns2="1123cc35-1e76-4e7e-ad1b-47cb9b3b8f4f" xmlns:ns3="df6e198e-8d39-4835-a665-cbe5863489d9" targetNamespace="http://schemas.microsoft.com/office/2006/metadata/properties" ma:root="true" ma:fieldsID="8fe0dee94dcdad0dbafcbbc36f58806f" ns2:_="" ns3:_="">
    <xsd:import namespace="1123cc35-1e76-4e7e-ad1b-47cb9b3b8f4f"/>
    <xsd:import namespace="df6e198e-8d39-4835-a665-cbe58634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cc35-1e76-4e7e-ad1b-47cb9b3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85f7d0-1692-43a7-9b11-df81d6400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198e-8d39-4835-a665-cbe58634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7d7fa-2228-4c1b-9edf-23864afc5a52}" ma:internalName="TaxCatchAll" ma:showField="CatchAllData" ma:web="df6e198e-8d39-4835-a665-cbe58634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3cc35-1e76-4e7e-ad1b-47cb9b3b8f4f">
      <Terms xmlns="http://schemas.microsoft.com/office/infopath/2007/PartnerControls"/>
    </lcf76f155ced4ddcb4097134ff3c332f>
    <TaxCatchAll xmlns="df6e198e-8d39-4835-a665-cbe5863489d9" xsi:nil="true"/>
  </documentManagement>
</p:properties>
</file>

<file path=customXml/itemProps1.xml><?xml version="1.0" encoding="utf-8"?>
<ds:datastoreItem xmlns:ds="http://schemas.openxmlformats.org/officeDocument/2006/customXml" ds:itemID="{6529EFFC-089A-4073-83B4-19FC39A5B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441B6-E48A-4D80-A648-AE63BF17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3cc35-1e76-4e7e-ad1b-47cb9b3b8f4f"/>
    <ds:schemaRef ds:uri="df6e198e-8d39-4835-a665-cbe586348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1FF43-C4F5-4EC6-90ED-2CA192185305}">
  <ds:schemaRefs>
    <ds:schemaRef ds:uri="http://schemas.microsoft.com/office/2006/metadata/properties"/>
    <ds:schemaRef ds:uri="http://schemas.microsoft.com/office/infopath/2007/PartnerControls"/>
    <ds:schemaRef ds:uri="1123cc35-1e76-4e7e-ad1b-47cb9b3b8f4f"/>
    <ds:schemaRef ds:uri="df6e198e-8d39-4835-a665-cbe586348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419</Words>
  <Characters>2973</Characters>
  <Application>Microsoft Office Word</Application>
  <DocSecurity>0</DocSecurity>
  <Lines>84</Lines>
  <Paragraphs>44</Paragraphs>
  <ScaleCrop>false</ScaleCrop>
  <Company/>
  <LinksUpToDate>false</LinksUpToDate>
  <CharactersWithSpaces>3348</CharactersWithSpaces>
  <SharedDoc>false</SharedDoc>
  <HLinks>
    <vt:vector size="6" baseType="variant">
      <vt:variant>
        <vt:i4>1441894</vt:i4>
      </vt:variant>
      <vt:variant>
        <vt:i4>0</vt:i4>
      </vt:variant>
      <vt:variant>
        <vt:i4>0</vt:i4>
      </vt:variant>
      <vt:variant>
        <vt:i4>5</vt:i4>
      </vt:variant>
      <vt:variant>
        <vt:lpwstr>mailto:joann.falgout@guidant.law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Trull</dc:creator>
  <cp:keywords/>
  <dc:description/>
  <cp:lastModifiedBy>Claire Chandler</cp:lastModifiedBy>
  <cp:revision>42</cp:revision>
  <dcterms:created xsi:type="dcterms:W3CDTF">2022-08-01T23:29:00Z</dcterms:created>
  <dcterms:modified xsi:type="dcterms:W3CDTF">2025-05-01T16:39:00Z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0x01010064570EDD467A6E43B91FB2004247A138</vt:lpwstr>
  </property>
  <property fmtid="{D5CDD505-2E9C-101B-9397-08002B2CF9AE}" pid="3" name="MediaServiceImageTags">
    <vt:lpwstr/>
  </property>
</Properties>
</file>